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8B6" w:rsidRPr="006868B6" w:rsidRDefault="006868B6" w:rsidP="006868B6">
      <w:pPr>
        <w:pStyle w:val="Ttulo2"/>
        <w:snapToGrid w:val="0"/>
        <w:spacing w:before="0" w:beforeAutospacing="0" w:after="0" w:afterAutospacing="0"/>
        <w:jc w:val="center"/>
        <w:rPr>
          <w:rFonts w:ascii="Arial" w:hAnsi="Arial" w:cs="Arial"/>
          <w:szCs w:val="22"/>
          <w:lang w:val="es-ES_tradnl"/>
        </w:rPr>
      </w:pPr>
      <w:r w:rsidRPr="006868B6">
        <w:rPr>
          <w:rFonts w:ascii="Arial" w:hAnsi="Arial" w:cs="Arial"/>
          <w:szCs w:val="22"/>
          <w:lang w:val="es-ES_tradnl"/>
        </w:rPr>
        <w:t>Especificaciones técnicas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Ttulo2"/>
        <w:numPr>
          <w:ilvl w:val="0"/>
          <w:numId w:val="9"/>
        </w:numPr>
        <w:snapToGrid w:val="0"/>
        <w:spacing w:before="0" w:beforeAutospacing="0" w:after="0" w:afterAutospacing="0"/>
        <w:rPr>
          <w:rFonts w:ascii="Arial" w:hAnsi="Arial" w:cs="Arial"/>
          <w:szCs w:val="22"/>
          <w:lang w:val="es-ES_tradnl"/>
        </w:rPr>
      </w:pPr>
      <w:r w:rsidRPr="006868B6">
        <w:rPr>
          <w:rFonts w:ascii="Arial" w:hAnsi="Arial" w:cs="Arial"/>
          <w:szCs w:val="22"/>
          <w:lang w:val="es-ES_tradnl"/>
        </w:rPr>
        <w:t xml:space="preserve">Control Electrónico </w:t>
      </w:r>
      <w:proofErr w:type="spellStart"/>
      <w:r w:rsidRPr="006868B6">
        <w:rPr>
          <w:rFonts w:ascii="Arial" w:hAnsi="Arial" w:cs="Arial"/>
          <w:szCs w:val="22"/>
          <w:lang w:val="es-ES_tradnl"/>
        </w:rPr>
        <w:t>Centralizable</w:t>
      </w:r>
      <w:proofErr w:type="spellEnd"/>
      <w:r w:rsidRPr="006868B6">
        <w:rPr>
          <w:rFonts w:ascii="Arial" w:hAnsi="Arial" w:cs="Arial"/>
          <w:szCs w:val="22"/>
          <w:lang w:val="es-ES_tradnl"/>
        </w:rPr>
        <w:t xml:space="preserve"> </w:t>
      </w: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Se requieren equipos Controladores de Tráfico </w:t>
      </w:r>
      <w:proofErr w:type="spellStart"/>
      <w:r w:rsidRPr="006868B6">
        <w:rPr>
          <w:rFonts w:ascii="Arial" w:eastAsia="Times New Roman" w:hAnsi="Arial" w:cs="Arial"/>
          <w:sz w:val="22"/>
          <w:szCs w:val="22"/>
          <w:lang w:eastAsia="es-ES_tradnl"/>
        </w:rPr>
        <w:t>Centralizables</w:t>
      </w:r>
      <w:proofErr w:type="spellEnd"/>
      <w:r w:rsidRPr="006868B6">
        <w:rPr>
          <w:rFonts w:ascii="Arial" w:eastAsia="Times New Roman" w:hAnsi="Arial" w:cs="Arial"/>
          <w:sz w:val="22"/>
          <w:szCs w:val="22"/>
          <w:lang w:eastAsia="es-ES_tradnl"/>
        </w:rPr>
        <w:t xml:space="preserve"> de última generación, diseñados con tecnología digital de estado sólido, dotados con un microprocesador que incluya: memoria para programa con capacidad de 16 bytes, memoria para el manejo de variables y ejecución del programa de 8 </w:t>
      </w:r>
      <w:proofErr w:type="spellStart"/>
      <w:r w:rsidRPr="006868B6">
        <w:rPr>
          <w:rFonts w:ascii="Arial" w:eastAsia="Times New Roman" w:hAnsi="Arial" w:cs="Arial"/>
          <w:sz w:val="22"/>
          <w:szCs w:val="22"/>
          <w:lang w:eastAsia="es-ES_tradnl"/>
        </w:rPr>
        <w:t>Kbytes</w:t>
      </w:r>
      <w:proofErr w:type="spellEnd"/>
      <w:r w:rsidRPr="006868B6">
        <w:rPr>
          <w:rFonts w:ascii="Arial" w:eastAsia="Times New Roman" w:hAnsi="Arial" w:cs="Arial"/>
          <w:sz w:val="22"/>
          <w:szCs w:val="22"/>
          <w:lang w:eastAsia="es-ES_tradnl"/>
        </w:rPr>
        <w:t xml:space="preserve">;  memoria no volátil para respaldo de los datos de programación de 8 </w:t>
      </w:r>
      <w:proofErr w:type="spellStart"/>
      <w:r w:rsidRPr="006868B6">
        <w:rPr>
          <w:rFonts w:ascii="Arial" w:eastAsia="Times New Roman" w:hAnsi="Arial" w:cs="Arial"/>
          <w:sz w:val="22"/>
          <w:szCs w:val="22"/>
          <w:lang w:eastAsia="es-ES_tradnl"/>
        </w:rPr>
        <w:t>Kbytes</w:t>
      </w:r>
      <w:proofErr w:type="spellEnd"/>
      <w:r w:rsidRPr="006868B6">
        <w:rPr>
          <w:rFonts w:ascii="Arial" w:eastAsia="Times New Roman" w:hAnsi="Arial" w:cs="Arial"/>
          <w:sz w:val="22"/>
          <w:szCs w:val="22"/>
          <w:lang w:eastAsia="es-ES_tradnl"/>
        </w:rPr>
        <w:t xml:space="preserve"> con duración de vida de al menos 5 años (sin energía), y reloj digital de alta precisión con respaldo de batería de al menos 5 años (sin energía).</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Los controladores deberán funcionar al recibir electricidad del servicio público local (una sola fase, dos alambres positivos/neutro, 125 V ± 10%, a 60 Hz.) de acuerdo con las especificaciones aquí señaladas.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Los equipos de control deberán poder controlar hasta 4 intersecciones agrupadas, programables en forma independiente, es decir, cada intersección deberá contar con fases exclusivas, además deberá ser posible coordinar dichas intersecciones entre sí, mediante valores de sincronía (desfasamientos). En esos casos, no se aceptarán controles que para la coordinación deban de hacerlo mediante despejes dentro del mismo ciclo, lo cual deberá ser demostrable.</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Los controladores deberán ser capaces de operar de 2 hasta 8,10 o 16 fases, conforme a las necesidades específicas de cada intersección, definidas en el plano de proyecto, así como en la relación de necesidades de equipo, adjuntos al presente documento.</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Los controladores deberán ser capaces de manejar dos secuencias diferentes durante el día, así como por lo menos ocho ciclos para cada secuencia y al menos tres valores de sincronía por cada ciclo (48 planes de tiempo).</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funcionamiento del controlador deberá poder ser configurado en las tres formas especificadas a continuación:</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1"/>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Como controlador de un Semáforo Aislado;</w:t>
      </w:r>
    </w:p>
    <w:p w:rsidR="006868B6" w:rsidRPr="006868B6" w:rsidRDefault="006868B6" w:rsidP="006868B6">
      <w:pPr>
        <w:pStyle w:val="Prrafodelista"/>
        <w:numPr>
          <w:ilvl w:val="0"/>
          <w:numId w:val="1"/>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Como controlador de un semáforo que integra una red de semáforos coordinados, con operación centralizada de tipo RESPONSIVO, así como por la SELECCIÓN HORARIA de planes fijos. En este contexto, los controles deberán tener la capacidad de operar en modo Actuado-Sincronizado.</w:t>
      </w:r>
    </w:p>
    <w:p w:rsidR="006868B6" w:rsidRPr="006868B6" w:rsidRDefault="006868B6" w:rsidP="006868B6">
      <w:pPr>
        <w:pStyle w:val="Prrafodelista"/>
        <w:numPr>
          <w:ilvl w:val="0"/>
          <w:numId w:val="1"/>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Como controlador de un semáforo que integra una red de semáforos coordinados, como parte de un sistema “Centralizado Adaptativo en Tiempo Real”. Es decir, con posibilidad de responder segundo a segundo.</w:t>
      </w:r>
    </w:p>
    <w:p w:rsidR="006868B6" w:rsidRPr="006868B6" w:rsidRDefault="006868B6" w:rsidP="006868B6">
      <w:pPr>
        <w:pStyle w:val="Prrafodelista"/>
        <w:numPr>
          <w:ilvl w:val="0"/>
          <w:numId w:val="1"/>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Estas características de configuración de los controladores deberán ser fehacientemente demostradas.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Los controladores deberán cumplir con las siguientes características elementales: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2"/>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Seguridad. El control deberá contar con mecanismos de protección contra verdes incompatibles, que eviten la presencia de luces de fases antagónicas.</w:t>
      </w:r>
    </w:p>
    <w:p w:rsidR="006868B6" w:rsidRPr="006868B6" w:rsidRDefault="006868B6" w:rsidP="006868B6">
      <w:pPr>
        <w:pStyle w:val="Prrafodelista"/>
        <w:numPr>
          <w:ilvl w:val="0"/>
          <w:numId w:val="2"/>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lastRenderedPageBreak/>
        <w:t>Modularidad. Cada tarjeta de carga deberá de controlar al menos dos grupos de luces. y deberán poder ser intercambiables mediante conexión de enchufe tipo “</w:t>
      </w:r>
      <w:proofErr w:type="spellStart"/>
      <w:r w:rsidRPr="006868B6">
        <w:rPr>
          <w:rFonts w:ascii="Arial" w:eastAsia="Times New Roman" w:hAnsi="Arial" w:cs="Arial"/>
          <w:sz w:val="22"/>
          <w:szCs w:val="22"/>
          <w:lang w:eastAsia="es-ES_tradnl"/>
        </w:rPr>
        <w:t>plug</w:t>
      </w:r>
      <w:proofErr w:type="spellEnd"/>
      <w:r w:rsidRPr="006868B6">
        <w:rPr>
          <w:rFonts w:ascii="Arial" w:eastAsia="Times New Roman" w:hAnsi="Arial" w:cs="Arial"/>
          <w:sz w:val="22"/>
          <w:szCs w:val="22"/>
          <w:lang w:eastAsia="es-ES_tradnl"/>
        </w:rPr>
        <w:t xml:space="preserve"> in”.</w:t>
      </w:r>
    </w:p>
    <w:p w:rsidR="006868B6" w:rsidRPr="006868B6" w:rsidRDefault="006868B6" w:rsidP="006868B6">
      <w:pPr>
        <w:pStyle w:val="Prrafodelista"/>
        <w:numPr>
          <w:ilvl w:val="0"/>
          <w:numId w:val="2"/>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Flexibilidad. La definición de las luces o fases incompatibles deberá poder ser especificado por el usuario, de tal suerte que cada grupo de luces deberá poderse programar sin tener restricción alguna; es decir, no se aceptarán controles que se sujeten a esquemas de programación inflexibles o que para su configuración se deban de desactivar funciones de seguridad o cortar circuitos de las tarjetas de control de conflictos.  </w:t>
      </w:r>
    </w:p>
    <w:p w:rsidR="006868B6" w:rsidRPr="006868B6" w:rsidRDefault="006868B6" w:rsidP="006868B6">
      <w:pPr>
        <w:pStyle w:val="Prrafodelista"/>
        <w:numPr>
          <w:ilvl w:val="0"/>
          <w:numId w:val="2"/>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Operatividad. Tener la capacidad de poder operar más de una intersección con el mismo controlador, configurando todos sus parámetros de programación de forma independiente (ciclos, secuencias, tiempos y valores de sincronía), como si virtualmente existiera un controlador para cada intersección.</w:t>
      </w:r>
    </w:p>
    <w:p w:rsidR="006868B6" w:rsidRPr="006868B6" w:rsidRDefault="006868B6" w:rsidP="006868B6">
      <w:pPr>
        <w:pStyle w:val="Prrafodelista"/>
        <w:numPr>
          <w:ilvl w:val="0"/>
          <w:numId w:val="2"/>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Normatividad. Deberá cumplir con la norma eléctrica mexicana: NOM-001-SCFI-1993</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controlador deberá contar con las siguientes facilidades operacionales: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3"/>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Dispositivo para encender/apagar las lámparas de las luces de los semáforos, sin apagar el controlador.</w:t>
      </w:r>
    </w:p>
    <w:p w:rsidR="006868B6" w:rsidRPr="006868B6" w:rsidRDefault="006868B6" w:rsidP="006868B6">
      <w:pPr>
        <w:pStyle w:val="Prrafodelista"/>
        <w:numPr>
          <w:ilvl w:val="0"/>
          <w:numId w:val="3"/>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Dispositivo para activar ámbar y rojo intermitentes.</w:t>
      </w:r>
    </w:p>
    <w:p w:rsidR="006868B6" w:rsidRPr="006868B6" w:rsidRDefault="006868B6" w:rsidP="006868B6">
      <w:pPr>
        <w:pStyle w:val="Prrafodelista"/>
        <w:numPr>
          <w:ilvl w:val="0"/>
          <w:numId w:val="3"/>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Dispositivo que proporciona un comando manual o enchufe para conexión de este. Este dispositivo puede estar o no incorporado al controlador.</w:t>
      </w:r>
    </w:p>
    <w:p w:rsidR="006868B6" w:rsidRPr="006868B6" w:rsidRDefault="006868B6" w:rsidP="006868B6">
      <w:pPr>
        <w:pStyle w:val="Prrafodelista"/>
        <w:numPr>
          <w:ilvl w:val="0"/>
          <w:numId w:val="3"/>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Posibilidad de programación directa en el controlador.</w:t>
      </w:r>
    </w:p>
    <w:p w:rsidR="006868B6" w:rsidRPr="006868B6" w:rsidRDefault="006868B6" w:rsidP="006868B6">
      <w:pPr>
        <w:pStyle w:val="Prrafodelista"/>
        <w:numPr>
          <w:ilvl w:val="0"/>
          <w:numId w:val="3"/>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Puerto para conexión con equipo externo para programación en el campo.</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Pantalla visual, mediante </w:t>
      </w:r>
      <w:proofErr w:type="spellStart"/>
      <w:r w:rsidRPr="006868B6">
        <w:rPr>
          <w:rFonts w:ascii="Arial" w:eastAsia="Times New Roman" w:hAnsi="Arial" w:cs="Arial"/>
          <w:sz w:val="22"/>
          <w:szCs w:val="22"/>
          <w:lang w:eastAsia="es-ES_tradnl"/>
        </w:rPr>
        <w:t>Display</w:t>
      </w:r>
      <w:proofErr w:type="spellEnd"/>
      <w:r w:rsidRPr="006868B6">
        <w:rPr>
          <w:rFonts w:ascii="Arial" w:eastAsia="Times New Roman" w:hAnsi="Arial" w:cs="Arial"/>
          <w:sz w:val="22"/>
          <w:szCs w:val="22"/>
          <w:lang w:eastAsia="es-ES_tradnl"/>
        </w:rPr>
        <w:t xml:space="preserve"> de cristal líquido LCD de al menos 35 caracteres alfanuméricos, que indique el programa activo y las fallas del controlador, incluso la falta de recepción o envío de la señal de sincronía.</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Los controladores deberán ser construidos utilizando circuitos integrados, montados en placas de circuito impreso </w:t>
      </w:r>
      <w:proofErr w:type="spellStart"/>
      <w:r w:rsidRPr="006868B6">
        <w:rPr>
          <w:rFonts w:ascii="Arial" w:eastAsia="Times New Roman" w:hAnsi="Arial" w:cs="Arial"/>
          <w:sz w:val="22"/>
          <w:szCs w:val="22"/>
          <w:lang w:eastAsia="es-ES_tradnl"/>
        </w:rPr>
        <w:t>enchufables</w:t>
      </w:r>
      <w:proofErr w:type="spellEnd"/>
      <w:r w:rsidRPr="006868B6">
        <w:rPr>
          <w:rFonts w:ascii="Arial" w:eastAsia="Times New Roman" w:hAnsi="Arial" w:cs="Arial"/>
          <w:sz w:val="22"/>
          <w:szCs w:val="22"/>
          <w:lang w:eastAsia="es-ES_tradnl"/>
        </w:rPr>
        <w:t xml:space="preserve"> (</w:t>
      </w:r>
      <w:proofErr w:type="spellStart"/>
      <w:r w:rsidRPr="006868B6">
        <w:rPr>
          <w:rFonts w:ascii="Arial" w:eastAsia="Times New Roman" w:hAnsi="Arial" w:cs="Arial"/>
          <w:sz w:val="22"/>
          <w:szCs w:val="22"/>
          <w:lang w:eastAsia="es-ES_tradnl"/>
        </w:rPr>
        <w:t>plug</w:t>
      </w:r>
      <w:proofErr w:type="spellEnd"/>
      <w:r w:rsidRPr="006868B6">
        <w:rPr>
          <w:rFonts w:ascii="Arial" w:eastAsia="Times New Roman" w:hAnsi="Arial" w:cs="Arial"/>
          <w:sz w:val="22"/>
          <w:szCs w:val="22"/>
          <w:lang w:eastAsia="es-ES_tradnl"/>
        </w:rPr>
        <w:t>-in o conector), y contar con indicadores luminosos (leds) que muestren la operación correcta de los circuitos, permitiendo así, una mayor rapidez en el diagnóstico de las fallas y consecuentemente facilidades para el mantenimiento del equipo.</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arquitectura de los controladores deberá ser tal, que permita recibir módulos de potencia intercambiables, los cuales servirán para controlar por lo menos ocho grupos de luces de semáforos.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Cada módulo deberá controlar uno o máximo dos grupos de luces (fases) de semáforos, a través del accionamiento de módulos de potencia intercambiables el controlador podrá permitir un esquema modular.</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Todos los tiempos programables de los controladores deberán ser derivados de un reloj interno, siendo el segundo el utilizado como la mínima unidad de incremento o decremento, así mismo, todos los parámetros de programación de los controladores deberán ser </w:t>
      </w:r>
      <w:r w:rsidRPr="006868B6">
        <w:rPr>
          <w:rFonts w:ascii="Arial" w:eastAsia="Times New Roman" w:hAnsi="Arial" w:cs="Arial"/>
          <w:sz w:val="22"/>
          <w:szCs w:val="22"/>
          <w:lang w:eastAsia="es-ES_tradnl"/>
        </w:rPr>
        <w:lastRenderedPageBreak/>
        <w:t>ingresados al sistema, con valores decimales directos, es decir, no se aceptarán controles en los cuales la programación de ciclos, fases, tiempos o desfasamientos, deban de ser convertidos a otro valor distinto, de tal suerte, que al alterar los tiempos de una de las fases, no deberá repercutir en el recalculo de los tiempos o parámetros de las otras fases.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Es de suma importancia que los controladores cuenten con un monitoreo continuo del estado de todas las luces verdes, incluyendo las de los peatones. De esta manera se deberá garantizar la detección de una situación de verdes en conflicto, si ello ocurre, inmediatamente el controlador deberá cambiar a un estado intermitente y reportar automáticamente esta anomalía al centro del control.</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En el caso de un falla de energía imputable del suministro público, o que ésta sea inferior al rango ya especificado al inicio de estas especificaciones, los controladores no deberán activarse inmediatamente en el verde de fase alguna, sino que deberán entrar en un intervalo de 8 segundos de intermitente amarillo (para la fase principal) y rojo (en las fases secundarias), seguidos por un tiempo de al menos 3 segundos de rojo total en todos los grupos de luces de semáforos, para luego inicializarse en la fase de sincronía.</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Independiente del motivo que haya conducido el controlador al modo intermitente, este deberá imponer un tiempo de rojo total en todos sus grupos de luces de semáforos durante un tiempo de seguridad mínimo de 3 segundos, inmediatamente después de la salida del modo intermitente.</w:t>
      </w: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Los controladores deberán disponer de un recurso que propicie la operación accionada por los detectores de conteo y presencia vehicular, es decir, del modo actuado. </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controlador deberá permitir la siguiente secuencia de colores para los semáforos: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4"/>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Grupos focales para vehículos: rojo, verde, verde-intermitente, amarillo, rojo.</w:t>
      </w:r>
    </w:p>
    <w:p w:rsidR="006868B6" w:rsidRPr="006868B6" w:rsidRDefault="006868B6" w:rsidP="006868B6">
      <w:pPr>
        <w:pStyle w:val="Prrafodelista"/>
        <w:numPr>
          <w:ilvl w:val="0"/>
          <w:numId w:val="4"/>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Grupos focales para peatones: rojo, verde, verde-intermitente, rojo.</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Los tiempos que componen el periodo entre verde de los semáforos, deberán poder ser programados para cada fase y podrán o no ser válidos para todos los planes.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período entre verde deberá comprender los siguientes parámetros: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5"/>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Tiempo de ámbar </w:t>
      </w:r>
    </w:p>
    <w:p w:rsidR="006868B6" w:rsidRPr="006868B6" w:rsidRDefault="006868B6" w:rsidP="006868B6">
      <w:pPr>
        <w:pStyle w:val="Prrafodelista"/>
        <w:numPr>
          <w:ilvl w:val="0"/>
          <w:numId w:val="5"/>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Tiempo de verde intermitente para peatones o vehículos</w:t>
      </w:r>
    </w:p>
    <w:p w:rsidR="006868B6" w:rsidRPr="006868B6" w:rsidRDefault="006868B6" w:rsidP="006868B6">
      <w:pPr>
        <w:pStyle w:val="Prrafodelista"/>
        <w:numPr>
          <w:ilvl w:val="0"/>
          <w:numId w:val="5"/>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Tiempo de todo rojo para despeje.</w:t>
      </w:r>
    </w:p>
    <w:p w:rsidR="006868B6" w:rsidRPr="006868B6" w:rsidRDefault="006868B6" w:rsidP="006868B6">
      <w:pPr>
        <w:pStyle w:val="Prrafodelista"/>
        <w:numPr>
          <w:ilvl w:val="0"/>
          <w:numId w:val="5"/>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Todos estos tiempos deberán ser ajustables, en pasos de un segundo. </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Los controladores locales deberán tener como mínimo, la siguiente capacidad:</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Ocho grupos de luces de semáforos (8 fases), y es requisito de que cualquiera de sus grupos de luces (fases) puede ser configurado como grupo vehicular o como grupo peatonal. Sin embargo, deberá tomarse en cuenta que para algunas intersecciones se requieren controles con capacidad de hasta 8, 10 y 16 fases.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lastRenderedPageBreak/>
        <w:t>La programación de las fases en relación con los grupos de luces de semáforos no deberá tener restricción alguna, por lo que deberá de ser posible combinar cualquier número de fase entre sí, de tal suerte que los técnicos de semáforos (usuario del sistema), puedan designar libremente las incompatibilidades entre fases para cada caso. Lo anterior representa la principal característica de flexibilidad de un equipo de control, el cumplimiento de lo anterior deberá ser fehacientemente demostrable.</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En la programación el controlador, deberá ser posible que el mismo grupo de semáforos pueda presentar dos intervalos de verde, con tiempos diferentes entre sí, ocurriendo dentro del mismo ciclo. También deberá ser posible programar, por lo menos, dos secuencias distintas de fases que puedan ser llamadas sin necesidad de reiniciar la operación del semáforo.</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Además de aceptar una operación adaptativa en tiempo real, el controlador deberá soportar como mínimo dieciséis (16) planes de tránsito que se puedan almacenar en memoria y operar en forma autónoma en el supuesto de la pérdida de comunicación con el centro de control puesto.</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Los controladores deberán contar con una tabla de cambio de planes, en la cual, puedan ser especificados, como mínimo quince eventos de activación de planes. </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controlador deberá ser capaz de codificar la información proveniente de detectores estratégicos de presencia de vehículos y llevar estadísticos de conteo de vehículos.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Los controladores como mínimo deberán cumplir con los siguientes modos de operación:</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6"/>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Intermitente</w:t>
      </w:r>
    </w:p>
    <w:p w:rsidR="006868B6" w:rsidRPr="006868B6" w:rsidRDefault="006868B6" w:rsidP="006868B6">
      <w:pPr>
        <w:pStyle w:val="Prrafodelista"/>
        <w:numPr>
          <w:ilvl w:val="0"/>
          <w:numId w:val="6"/>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Manual</w:t>
      </w:r>
    </w:p>
    <w:p w:rsidR="006868B6" w:rsidRPr="006868B6" w:rsidRDefault="006868B6" w:rsidP="006868B6">
      <w:pPr>
        <w:pStyle w:val="Prrafodelista"/>
        <w:numPr>
          <w:ilvl w:val="0"/>
          <w:numId w:val="6"/>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Coordinado en Tiempo Real</w:t>
      </w:r>
    </w:p>
    <w:p w:rsidR="006868B6" w:rsidRPr="006868B6" w:rsidRDefault="006868B6" w:rsidP="006868B6">
      <w:pPr>
        <w:pStyle w:val="Prrafodelista"/>
        <w:numPr>
          <w:ilvl w:val="0"/>
          <w:numId w:val="6"/>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Coordinado a Tiempos Fijos</w:t>
      </w:r>
    </w:p>
    <w:p w:rsidR="006868B6" w:rsidRPr="006868B6" w:rsidRDefault="006868B6" w:rsidP="006868B6">
      <w:pPr>
        <w:pStyle w:val="Prrafodelista"/>
        <w:numPr>
          <w:ilvl w:val="0"/>
          <w:numId w:val="6"/>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Aislado a Tiempos Fijos</w:t>
      </w:r>
    </w:p>
    <w:p w:rsidR="006868B6" w:rsidRPr="006868B6" w:rsidRDefault="006868B6" w:rsidP="006868B6">
      <w:pPr>
        <w:pStyle w:val="Prrafodelista"/>
        <w:numPr>
          <w:ilvl w:val="0"/>
          <w:numId w:val="6"/>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Aislado Totalmente Actuado</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Ttulo2"/>
        <w:numPr>
          <w:ilvl w:val="1"/>
          <w:numId w:val="9"/>
        </w:numPr>
        <w:snapToGrid w:val="0"/>
        <w:spacing w:before="0" w:beforeAutospacing="0" w:after="0" w:afterAutospacing="0"/>
        <w:rPr>
          <w:rFonts w:ascii="Arial" w:hAnsi="Arial" w:cs="Arial"/>
          <w:szCs w:val="22"/>
          <w:lang w:val="es-ES_tradnl"/>
        </w:rPr>
      </w:pPr>
      <w:r w:rsidRPr="006868B6">
        <w:rPr>
          <w:rFonts w:ascii="Arial" w:hAnsi="Arial" w:cs="Arial"/>
          <w:szCs w:val="22"/>
          <w:lang w:val="es-ES_tradnl"/>
        </w:rPr>
        <w:t>Características de los gabinetes de los controladores</w:t>
      </w: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Gabinete deberá ser fabricado en lámina de aluminio calibre 10 y contar chapas de alta seguridad cuyas llaves sean diferentes para cada puerta e infalsificables.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Con el fin de facilitar el mantenimiento nocturno, el gabinete de los controladores deberá contener iluminación fluorescente interna, la cual deberá activarse automáticamente al abrir el gabinete.</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Los gabinetes deberán contener un dispositivo que, conectado al controlador, notifiquen al centro de control cuando son abiertos, este dispositivo será aplicable a la puerta principal.</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Adicionalmente los gabinetes se deberán de contar con una escotilla sobre la puerta principal o sobre un costado de este, para acceder al modo de operación manual sin necesidad de abrir la puerta principal.</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Las dimensiones de los Gabinetes deberán ser tales que garanticen el adecuado alojamiento de las unidades de control, amplificadores de detección vehicular y otros dispositivos de la Red de Comunicación.</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puerta principal del gabinete deberá estar provista de un empaque de neopreno, a prueba de agua y polvo. Las bisagras deberán ser fabricadas en acero, y su sistema de cierre con palanca de tres puntos de tal manera que garantice la protección contra vandalismos.</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El gabinete deberá contar con un sistema de ventilación con termostato de enfriamiento; y estar provisto de rejillas de respiración protegidas con filtros u otro tipo de material que impida la entrada de insectos, polvo y agua. </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Con la finalidad de garantizar el máximo aprovechamiento tecnológico de la infraestructura con la que actualmente cuenta el Municipio, los controladores a suministrar deberán ser similares a los existentes. </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Ttulo2"/>
        <w:snapToGrid w:val="0"/>
        <w:spacing w:before="0" w:beforeAutospacing="0" w:after="0" w:afterAutospacing="0"/>
        <w:rPr>
          <w:rFonts w:ascii="Arial" w:hAnsi="Arial" w:cs="Arial"/>
          <w:szCs w:val="22"/>
        </w:rPr>
      </w:pPr>
      <w:bookmarkStart w:id="0" w:name="_GoBack"/>
      <w:bookmarkEnd w:id="0"/>
    </w:p>
    <w:p w:rsidR="006868B6" w:rsidRPr="006868B6" w:rsidRDefault="006868B6" w:rsidP="006868B6">
      <w:pPr>
        <w:pStyle w:val="Ttulo2"/>
        <w:numPr>
          <w:ilvl w:val="0"/>
          <w:numId w:val="9"/>
        </w:numPr>
        <w:snapToGrid w:val="0"/>
        <w:spacing w:before="0" w:beforeAutospacing="0" w:after="0" w:afterAutospacing="0"/>
        <w:rPr>
          <w:rFonts w:ascii="Arial" w:hAnsi="Arial" w:cs="Arial"/>
          <w:szCs w:val="22"/>
          <w:lang w:val="es-ES_tradnl"/>
        </w:rPr>
      </w:pPr>
      <w:r w:rsidRPr="006868B6">
        <w:rPr>
          <w:rFonts w:ascii="Arial" w:hAnsi="Arial" w:cs="Arial"/>
          <w:szCs w:val="22"/>
          <w:lang w:val="es-ES_tradnl"/>
        </w:rPr>
        <w:t>Semáforo vehicular de 3 y 4 luces LED de 30 cm</w:t>
      </w: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El licitante deberá considerar que los semáforos deberán de cumplir con los siguientes requisitos: </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caja, tapa y visera deberán ser fabricadas en policarbonato de alta resistencia, los materiales a emplear deberán ser vírgenes no reciclados, pigmentados de color amarillo federal, negro o verde antes de moldearse (no contendrán pintura).</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Todos los materiales por utilizar deberán contar con tratamiento UV para contrarrestar los efectos de los rayos ultravioletas.</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Cada juego de luces es decir de 2, 3, 4 o 5 luces deberán contar con una terminal para conexiones identificados con sus colores respectivos (rojo, ámbar o verde).</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sistema de unión de la tapa con la caja (Bisagras) deberán ser de máxima seguridad y de latón, bronce o policarbonato.</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La puerta del cabezal deberá abrirse mediante dos tornillos de mano de bronce o latón del tipo helicoidal, eliminando la necesidad de herramientas especiales. </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empaque de la tapa con la caja deberá ser de neopreno y deberá asegurar un sellado hermético.</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La fuente de iluminación deberá ser mediante diodos electroluminiscentes (LED) para operarse con corriente alterna monofásica de 115 volts a 60 ciclos por segundo y deberán de formar un diámetro de 30 cm. iluminados. </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cableado interior deberá ser del tipo AWG, Calibre 12.</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unidad de iluminación deberá estar sellada herméticamente de tal manera que no penetre el polvo ni la humedad.</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Deberán garantizar un mínimo de 5 años de duración (por escrito) sin que presenten problemas los diodos.</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Las </w:t>
      </w:r>
      <w:proofErr w:type="spellStart"/>
      <w:r w:rsidRPr="006868B6">
        <w:rPr>
          <w:rFonts w:ascii="Arial" w:eastAsia="Times New Roman" w:hAnsi="Arial" w:cs="Arial"/>
          <w:sz w:val="22"/>
          <w:szCs w:val="22"/>
          <w:lang w:eastAsia="es-ES_tradnl"/>
        </w:rPr>
        <w:t>viseras</w:t>
      </w:r>
      <w:proofErr w:type="spellEnd"/>
      <w:r w:rsidRPr="006868B6">
        <w:rPr>
          <w:rFonts w:ascii="Arial" w:eastAsia="Times New Roman" w:hAnsi="Arial" w:cs="Arial"/>
          <w:sz w:val="22"/>
          <w:szCs w:val="22"/>
          <w:lang w:eastAsia="es-ES_tradnl"/>
        </w:rPr>
        <w:t xml:space="preserve"> deberán ser del tipo cachucha y abiertas en su parte inferior para evitar el acumulamiento de polvo y a su vez deberán estar reforzadas a la tapa con cuatro tornillos de acero inoxidable para asegurar que no se caiga con el viento y así incrementar su vida útil.</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lastRenderedPageBreak/>
        <w:t>La sección en la parte superior deberá de tener un sistema de drenado para evitar que el agua se acumule o penetre al semáforo.</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unión de las secciones deberá contar con un sistema de seguridad de tal manera que ya unidas entre sí no se giren.</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La sección deberá tener 4 (cuatro) agujeros para colocación de placa </w:t>
      </w:r>
      <w:proofErr w:type="spellStart"/>
      <w:r w:rsidRPr="006868B6">
        <w:rPr>
          <w:rFonts w:ascii="Arial" w:eastAsia="Times New Roman" w:hAnsi="Arial" w:cs="Arial"/>
          <w:sz w:val="22"/>
          <w:szCs w:val="22"/>
          <w:lang w:eastAsia="es-ES_tradnl"/>
        </w:rPr>
        <w:t>antisolar</w:t>
      </w:r>
      <w:proofErr w:type="spellEnd"/>
      <w:r w:rsidRPr="006868B6">
        <w:rPr>
          <w:rFonts w:ascii="Arial" w:eastAsia="Times New Roman" w:hAnsi="Arial" w:cs="Arial"/>
          <w:sz w:val="22"/>
          <w:szCs w:val="22"/>
          <w:lang w:eastAsia="es-ES_tradnl"/>
        </w:rPr>
        <w:t xml:space="preserve"> en caso de que se desee colocar.</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Deberán de cumplir con la Norma Oficial Mexicana vigente por lo cual deberá adjuntar a su propuesta los certificados correspondientes. </w:t>
      </w:r>
    </w:p>
    <w:p w:rsidR="006868B6" w:rsidRPr="006868B6" w:rsidRDefault="006868B6" w:rsidP="006868B6">
      <w:pPr>
        <w:pStyle w:val="Prrafodelista"/>
        <w:numPr>
          <w:ilvl w:val="0"/>
          <w:numId w:val="7"/>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Como parte integral de su oferta, el licitante deberá de considerar el suministro e instalación de los herrajes suficientes para su correcta instalación.</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Ttulo2"/>
        <w:numPr>
          <w:ilvl w:val="0"/>
          <w:numId w:val="9"/>
        </w:numPr>
        <w:snapToGrid w:val="0"/>
        <w:spacing w:before="0" w:beforeAutospacing="0" w:after="0" w:afterAutospacing="0"/>
        <w:rPr>
          <w:rFonts w:ascii="Arial" w:hAnsi="Arial" w:cs="Arial"/>
          <w:szCs w:val="22"/>
          <w:lang w:val="es-ES_tradnl"/>
        </w:rPr>
      </w:pPr>
      <w:r w:rsidRPr="006868B6">
        <w:rPr>
          <w:rFonts w:ascii="Arial" w:hAnsi="Arial" w:cs="Arial"/>
          <w:szCs w:val="22"/>
          <w:lang w:val="es-ES_tradnl"/>
        </w:rPr>
        <w:t>SEMAFOROS PEATONALES DE LUCES LED DINAMICOS</w:t>
      </w: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El licitante deberá considerar que los semáforos deberán de cumplir con los siguientes requisitos: </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Semáforo con módulos de LED, en carcasa (sección) rectangular de 45 x 40 x 11 cm con rejilla integrada en la puerta y que proporcione luz de dispersión uniforme de símbolos de Hombre caminando / Mano.</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Características técnicas:</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Rango de voltaje: 80V a 135V AC; normal 120V AC (con variación de intensidad menor al 10%)</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Consumo de Energía: 10 Watt /Mano; 7 Watt /hombre</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Temperatura de operación: -40°C a +74°C</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Factor de corrección de energía: &gt; 0.90</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proofErr w:type="gramStart"/>
      <w:r w:rsidRPr="006868B6">
        <w:rPr>
          <w:rFonts w:ascii="Arial" w:eastAsia="Times New Roman" w:hAnsi="Arial" w:cs="Arial"/>
          <w:sz w:val="22"/>
          <w:szCs w:val="22"/>
          <w:lang w:eastAsia="es-ES_tradnl"/>
        </w:rPr>
        <w:t>Total</w:t>
      </w:r>
      <w:proofErr w:type="gramEnd"/>
      <w:r w:rsidRPr="006868B6">
        <w:rPr>
          <w:rFonts w:ascii="Arial" w:eastAsia="Times New Roman" w:hAnsi="Arial" w:cs="Arial"/>
          <w:sz w:val="22"/>
          <w:szCs w:val="22"/>
          <w:lang w:eastAsia="es-ES_tradnl"/>
        </w:rPr>
        <w:t xml:space="preserve"> de distorsión armónica: &lt; 20%</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Brillo de la Mano: &gt; 3750 cd/m2</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Brillo del Hombre:</w:t>
      </w:r>
      <w:r w:rsidRPr="006868B6">
        <w:rPr>
          <w:rFonts w:ascii="Arial" w:eastAsia="Times New Roman" w:hAnsi="Arial" w:cs="Arial"/>
          <w:sz w:val="22"/>
          <w:szCs w:val="22"/>
          <w:lang w:eastAsia="es-ES_tradnl"/>
        </w:rPr>
        <w:tab/>
        <w:t>&gt; 5300 cd/m2</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Color de Mano: Anaranjado</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Color de Hombre: Blanco</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Dimensiones: 18” x 16” x 4.5”</w:t>
      </w:r>
    </w:p>
    <w:p w:rsidR="006868B6" w:rsidRPr="006868B6" w:rsidRDefault="006868B6" w:rsidP="006868B6">
      <w:pPr>
        <w:pStyle w:val="Prrafodelista"/>
        <w:numPr>
          <w:ilvl w:val="1"/>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Peso: 5 lb (2.27 kg)</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caja, tapa y visera deberán ser fabricadas en policarbonato de alta resistencia, los materiales a emplear deberán ser vírgenes no reciclados, pigmentados de color negro antes de moldearse (no contendrán pintura).</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Todos los materiales por utilizar deberán contar con tratamiento para contrarrestar los efectos de los rayos ultravioletas.</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sistema de unión de la tapa con la caja (Bisagras) deberá ser de máxima seguridad y de latón, bronce o policarbonato.</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puerta del cabezal deberá abrirse mediante dos tornillos de mano de bronce o latón del tipo helicoidal, eliminando la necesidad de herramientas especiales.</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empaque de la tapa con la caja deberá ser de neopreno y deberá asegurar un sellado hermético</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fuente de iluminación deberá ser mediante diodos electroluminiscentes (LEDS) para operarse con corriente alterna monofásica de 115 volts a 60 ciclos por segundo.</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El cableado interior deberá ser del tipo AWG, Calibre 12.</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unidad de iluminación deberá estar sellada herméticamente de tal manera que no penetre el polvo ni la humedad.</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lastRenderedPageBreak/>
        <w:t>Deberán garantizar un mínimo de 5 años de duración (por escrito) sin que presenten problemas los diodos.</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 xml:space="preserve">Deberá entregar 5 años contra defectos de fabricación por escrito. </w:t>
      </w:r>
    </w:p>
    <w:p w:rsidR="006868B6" w:rsidRPr="006868B6" w:rsidRDefault="006868B6" w:rsidP="006868B6">
      <w:pPr>
        <w:pStyle w:val="Prrafodelista"/>
        <w:numPr>
          <w:ilvl w:val="0"/>
          <w:numId w:val="10"/>
        </w:num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Como parte integral, el licitante deberá de considerar el suministro e instalación de los herrajes suficientes para su correcta instalación.</w:t>
      </w:r>
    </w:p>
    <w:p w:rsidR="006868B6" w:rsidRPr="006868B6" w:rsidRDefault="006868B6" w:rsidP="006868B6">
      <w:pPr>
        <w:pStyle w:val="Prrafodelista"/>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Ttulo2"/>
        <w:numPr>
          <w:ilvl w:val="0"/>
          <w:numId w:val="9"/>
        </w:numPr>
        <w:snapToGrid w:val="0"/>
        <w:spacing w:before="0" w:beforeAutospacing="0" w:after="0" w:afterAutospacing="0"/>
        <w:rPr>
          <w:rFonts w:ascii="Arial" w:hAnsi="Arial" w:cs="Arial"/>
          <w:szCs w:val="22"/>
          <w:lang w:val="es-ES_tradnl"/>
        </w:rPr>
      </w:pPr>
      <w:r w:rsidRPr="006868B6">
        <w:rPr>
          <w:rFonts w:ascii="Arial" w:hAnsi="Arial" w:cs="Arial"/>
          <w:szCs w:val="22"/>
          <w:lang w:val="es-ES_tradnl"/>
        </w:rPr>
        <w:t>Estructura de soporte de uno o dos brazos</w:t>
      </w: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estructura para colocar semáforos permitirá situarlos en posición vertical, a una altura conveniente para que sea observado por los conductores y permita la libre circulación de vehículos ligeros y pesados, con uno o dos brazos de acuerdo con el proyecto.</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La estructura requerida deberá estar conformada por:</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8"/>
        </w:numPr>
        <w:snapToGrid w:val="0"/>
        <w:jc w:val="both"/>
        <w:rPr>
          <w:rFonts w:ascii="Arial" w:eastAsia="Times New Roman" w:hAnsi="Arial" w:cs="Arial"/>
          <w:sz w:val="22"/>
          <w:szCs w:val="22"/>
          <w:lang w:eastAsia="es-ES_tradnl"/>
        </w:rPr>
      </w:pPr>
      <w:r w:rsidRPr="006868B6">
        <w:rPr>
          <w:rFonts w:ascii="Arial" w:eastAsia="Times New Roman" w:hAnsi="Arial" w:cs="Arial"/>
          <w:b/>
          <w:bCs/>
          <w:sz w:val="22"/>
          <w:szCs w:val="22"/>
          <w:lang w:eastAsia="es-ES_tradnl"/>
        </w:rPr>
        <w:t>Poste:</w:t>
      </w:r>
      <w:r w:rsidRPr="006868B6">
        <w:rPr>
          <w:rFonts w:ascii="Arial" w:eastAsia="Times New Roman" w:hAnsi="Arial" w:cs="Arial"/>
          <w:sz w:val="22"/>
          <w:szCs w:val="22"/>
          <w:lang w:eastAsia="es-ES_tradnl"/>
        </w:rPr>
        <w:t xml:space="preserve"> Será fabricado con tubo de acero A-53 de 8” diámetro (8.625 Nominal) y espesor de 3/16”, con 550 cm de altura, con placa base de ¾” x 50 cm de diámetro, unida con 8 cartabones triangulares de </w:t>
      </w:r>
      <w:proofErr w:type="spellStart"/>
      <w:r w:rsidRPr="006868B6">
        <w:rPr>
          <w:rFonts w:ascii="Arial" w:eastAsia="Times New Roman" w:hAnsi="Arial" w:cs="Arial"/>
          <w:sz w:val="22"/>
          <w:szCs w:val="22"/>
          <w:lang w:eastAsia="es-ES_tradnl"/>
        </w:rPr>
        <w:t>Fo</w:t>
      </w:r>
      <w:proofErr w:type="spellEnd"/>
      <w:r w:rsidRPr="006868B6">
        <w:rPr>
          <w:rFonts w:ascii="Arial" w:eastAsia="Times New Roman" w:hAnsi="Arial" w:cs="Arial"/>
          <w:sz w:val="22"/>
          <w:szCs w:val="22"/>
          <w:lang w:eastAsia="es-ES_tradnl"/>
        </w:rPr>
        <w:t xml:space="preserve">. de ¼” de 7 x 15 cm y una placa unión (entre poste y brazo) de 3/4” x 40 x 40 cm; un registro eléctrico en su base, fabricado de solera cal. 10 de 3.8 x 19 cm con tapa de aluminio y un medio </w:t>
      </w:r>
      <w:proofErr w:type="spellStart"/>
      <w:r w:rsidRPr="006868B6">
        <w:rPr>
          <w:rFonts w:ascii="Arial" w:eastAsia="Times New Roman" w:hAnsi="Arial" w:cs="Arial"/>
          <w:sz w:val="22"/>
          <w:szCs w:val="22"/>
          <w:lang w:eastAsia="es-ES_tradnl"/>
        </w:rPr>
        <w:t>cople</w:t>
      </w:r>
      <w:proofErr w:type="spellEnd"/>
      <w:r w:rsidRPr="006868B6">
        <w:rPr>
          <w:rFonts w:ascii="Arial" w:eastAsia="Times New Roman" w:hAnsi="Arial" w:cs="Arial"/>
          <w:sz w:val="22"/>
          <w:szCs w:val="22"/>
          <w:lang w:eastAsia="es-ES_tradnl"/>
        </w:rPr>
        <w:t xml:space="preserve"> en el poste de 1 ½” de diámetro, con accesorios para la colocación de semáforos como son: </w:t>
      </w:r>
      <w:proofErr w:type="spellStart"/>
      <w:r w:rsidRPr="006868B6">
        <w:rPr>
          <w:rFonts w:ascii="Arial" w:eastAsia="Times New Roman" w:hAnsi="Arial" w:cs="Arial"/>
          <w:sz w:val="22"/>
          <w:szCs w:val="22"/>
          <w:lang w:eastAsia="es-ES_tradnl"/>
        </w:rPr>
        <w:t>niple</w:t>
      </w:r>
      <w:proofErr w:type="spellEnd"/>
      <w:r w:rsidRPr="006868B6">
        <w:rPr>
          <w:rFonts w:ascii="Arial" w:eastAsia="Times New Roman" w:hAnsi="Arial" w:cs="Arial"/>
          <w:sz w:val="22"/>
          <w:szCs w:val="22"/>
          <w:lang w:eastAsia="es-ES_tradnl"/>
        </w:rPr>
        <w:t xml:space="preserve"> de 1 ½” cédula 40, codo 90° cédula 40 1 ½”, contratuerca de 1 ½”, herraje para poste de 12 x 25.5 cm, tapón para semáforo, tuerca cuadrada de 3/16” y lámina cal. 16 de 2.5 x 7 cm.</w:t>
      </w:r>
    </w:p>
    <w:p w:rsidR="006868B6" w:rsidRPr="006868B6" w:rsidRDefault="006868B6" w:rsidP="006868B6">
      <w:pPr>
        <w:pStyle w:val="Prrafodelista"/>
        <w:snapToGrid w:val="0"/>
        <w:jc w:val="both"/>
        <w:rPr>
          <w:rFonts w:ascii="Arial" w:eastAsia="Times New Roman" w:hAnsi="Arial" w:cs="Arial"/>
          <w:sz w:val="22"/>
          <w:szCs w:val="22"/>
          <w:lang w:eastAsia="es-ES_tradnl"/>
        </w:rPr>
      </w:pPr>
    </w:p>
    <w:p w:rsidR="006868B6" w:rsidRPr="006868B6" w:rsidRDefault="006868B6" w:rsidP="006868B6">
      <w:pPr>
        <w:pStyle w:val="Prrafodelista"/>
        <w:numPr>
          <w:ilvl w:val="0"/>
          <w:numId w:val="8"/>
        </w:numPr>
        <w:snapToGrid w:val="0"/>
        <w:jc w:val="both"/>
        <w:rPr>
          <w:rFonts w:ascii="Arial" w:eastAsia="Times New Roman" w:hAnsi="Arial" w:cs="Arial"/>
          <w:sz w:val="22"/>
          <w:szCs w:val="22"/>
          <w:lang w:eastAsia="es-ES_tradnl"/>
        </w:rPr>
      </w:pPr>
      <w:r w:rsidRPr="006868B6">
        <w:rPr>
          <w:rFonts w:ascii="Arial" w:eastAsia="Times New Roman" w:hAnsi="Arial" w:cs="Arial"/>
          <w:b/>
          <w:bCs/>
          <w:sz w:val="22"/>
          <w:szCs w:val="22"/>
          <w:lang w:eastAsia="es-ES_tradnl"/>
        </w:rPr>
        <w:t>Brazo:</w:t>
      </w:r>
      <w:r w:rsidRPr="006868B6">
        <w:rPr>
          <w:rFonts w:ascii="Arial" w:eastAsia="Times New Roman" w:hAnsi="Arial" w:cs="Arial"/>
          <w:sz w:val="22"/>
          <w:szCs w:val="22"/>
          <w:lang w:eastAsia="es-ES_tradnl"/>
        </w:rPr>
        <w:t xml:space="preserve"> Será fabricado con tubo de acero A-53 de 8” de diámetro rolado (8.625 Nominal) y espesor de 3/16” con una longitud de brazo variable, de acuerdo con proyecto, placa unión (entre poste y brazo) de 3/4” de 40 x 40 cm unida con 8 cartabones especiales de </w:t>
      </w:r>
      <w:proofErr w:type="spellStart"/>
      <w:r w:rsidRPr="006868B6">
        <w:rPr>
          <w:rFonts w:ascii="Arial" w:eastAsia="Times New Roman" w:hAnsi="Arial" w:cs="Arial"/>
          <w:sz w:val="22"/>
          <w:szCs w:val="22"/>
          <w:lang w:eastAsia="es-ES_tradnl"/>
        </w:rPr>
        <w:t>Fo</w:t>
      </w:r>
      <w:proofErr w:type="spellEnd"/>
      <w:r w:rsidRPr="006868B6">
        <w:rPr>
          <w:rFonts w:ascii="Arial" w:eastAsia="Times New Roman" w:hAnsi="Arial" w:cs="Arial"/>
          <w:sz w:val="22"/>
          <w:szCs w:val="22"/>
          <w:lang w:eastAsia="es-ES_tradnl"/>
        </w:rPr>
        <w:t xml:space="preserve">. de 1/2” x 17 x 15 cm, accesorios para la colocación de semáforos: cuatro medios </w:t>
      </w:r>
      <w:proofErr w:type="spellStart"/>
      <w:r w:rsidRPr="006868B6">
        <w:rPr>
          <w:rFonts w:ascii="Arial" w:eastAsia="Times New Roman" w:hAnsi="Arial" w:cs="Arial"/>
          <w:sz w:val="22"/>
          <w:szCs w:val="22"/>
          <w:lang w:eastAsia="es-ES_tradnl"/>
        </w:rPr>
        <w:t>coples</w:t>
      </w:r>
      <w:proofErr w:type="spellEnd"/>
      <w:r w:rsidRPr="006868B6">
        <w:rPr>
          <w:rFonts w:ascii="Arial" w:eastAsia="Times New Roman" w:hAnsi="Arial" w:cs="Arial"/>
          <w:sz w:val="22"/>
          <w:szCs w:val="22"/>
          <w:lang w:eastAsia="es-ES_tradnl"/>
        </w:rPr>
        <w:t xml:space="preserve"> de 1 ½” de diámetro, cuatro </w:t>
      </w:r>
      <w:proofErr w:type="spellStart"/>
      <w:r w:rsidRPr="006868B6">
        <w:rPr>
          <w:rFonts w:ascii="Arial" w:eastAsia="Times New Roman" w:hAnsi="Arial" w:cs="Arial"/>
          <w:sz w:val="22"/>
          <w:szCs w:val="22"/>
          <w:lang w:eastAsia="es-ES_tradnl"/>
        </w:rPr>
        <w:t>niples</w:t>
      </w:r>
      <w:proofErr w:type="spellEnd"/>
      <w:r w:rsidRPr="006868B6">
        <w:rPr>
          <w:rFonts w:ascii="Arial" w:eastAsia="Times New Roman" w:hAnsi="Arial" w:cs="Arial"/>
          <w:sz w:val="22"/>
          <w:szCs w:val="22"/>
          <w:lang w:eastAsia="es-ES_tradnl"/>
        </w:rPr>
        <w:t xml:space="preserve"> de 1 ½” cédula 40, cuatro codos a 90° cédula. 40 1 ½”, cuatro contratuercas de 1 ½”, dos tornillos opresores de ¼”, dos </w:t>
      </w:r>
      <w:proofErr w:type="spellStart"/>
      <w:r w:rsidRPr="006868B6">
        <w:rPr>
          <w:rFonts w:ascii="Arial" w:eastAsia="Times New Roman" w:hAnsi="Arial" w:cs="Arial"/>
          <w:sz w:val="22"/>
          <w:szCs w:val="22"/>
          <w:lang w:eastAsia="es-ES_tradnl"/>
        </w:rPr>
        <w:t>niples</w:t>
      </w:r>
      <w:proofErr w:type="spellEnd"/>
      <w:r w:rsidRPr="006868B6">
        <w:rPr>
          <w:rFonts w:ascii="Arial" w:eastAsia="Times New Roman" w:hAnsi="Arial" w:cs="Arial"/>
          <w:sz w:val="22"/>
          <w:szCs w:val="22"/>
          <w:lang w:eastAsia="es-ES_tradnl"/>
        </w:rPr>
        <w:t xml:space="preserve"> de 2” cédula 40 de 10 cm de longitud y dos </w:t>
      </w:r>
      <w:proofErr w:type="spellStart"/>
      <w:r w:rsidRPr="006868B6">
        <w:rPr>
          <w:rFonts w:ascii="Arial" w:eastAsia="Times New Roman" w:hAnsi="Arial" w:cs="Arial"/>
          <w:sz w:val="22"/>
          <w:szCs w:val="22"/>
          <w:lang w:eastAsia="es-ES_tradnl"/>
        </w:rPr>
        <w:t>niples</w:t>
      </w:r>
      <w:proofErr w:type="spellEnd"/>
      <w:r w:rsidRPr="006868B6">
        <w:rPr>
          <w:rFonts w:ascii="Arial" w:eastAsia="Times New Roman" w:hAnsi="Arial" w:cs="Arial"/>
          <w:sz w:val="22"/>
          <w:szCs w:val="22"/>
          <w:lang w:eastAsia="es-ES_tradnl"/>
        </w:rPr>
        <w:t xml:space="preserve"> de 1 ½” cédula 40 de 24 cm de longitud.</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Toda la estructura deberá ser galvanizada, con acabado fondo anticorrosivo y pintura del color de acuerdo con el proyecto y reglamentos vigentes de la ciudad. Deberá tener la preparación para colocar el cabezal de semáforo (Vehicular y/o Peatonal), cableado interno y dispositivos adicionales diversos necesarios para su adecuado funcionamiento de acuerdo con el proyecto.</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pStyle w:val="Ttulo2"/>
        <w:numPr>
          <w:ilvl w:val="0"/>
          <w:numId w:val="9"/>
        </w:numPr>
        <w:snapToGrid w:val="0"/>
        <w:spacing w:before="0" w:beforeAutospacing="0" w:after="0" w:afterAutospacing="0"/>
        <w:rPr>
          <w:rFonts w:ascii="Arial" w:hAnsi="Arial" w:cs="Arial"/>
          <w:szCs w:val="22"/>
          <w:lang w:val="es-ES_tradnl"/>
        </w:rPr>
      </w:pPr>
      <w:r w:rsidRPr="006868B6">
        <w:rPr>
          <w:rFonts w:ascii="Arial" w:hAnsi="Arial" w:cs="Arial"/>
          <w:szCs w:val="22"/>
          <w:lang w:val="es-ES_tradnl"/>
        </w:rPr>
        <w:t>Poste vertical para semáforos</w:t>
      </w:r>
    </w:p>
    <w:p w:rsidR="006868B6" w:rsidRPr="006868B6" w:rsidRDefault="006868B6" w:rsidP="006868B6">
      <w:pPr>
        <w:pStyle w:val="Ttulo2"/>
        <w:snapToGrid w:val="0"/>
        <w:spacing w:before="0" w:beforeAutospacing="0" w:after="0" w:afterAutospacing="0"/>
        <w:rPr>
          <w:rFonts w:ascii="Arial" w:hAnsi="Arial" w:cs="Arial"/>
          <w:szCs w:val="22"/>
        </w:rPr>
      </w:pPr>
    </w:p>
    <w:p w:rsidR="006868B6" w:rsidRPr="006868B6" w:rsidRDefault="006868B6" w:rsidP="006868B6">
      <w:pPr>
        <w:pStyle w:val="Prrafodelista"/>
        <w:numPr>
          <w:ilvl w:val="0"/>
          <w:numId w:val="8"/>
        </w:numPr>
        <w:snapToGrid w:val="0"/>
        <w:jc w:val="both"/>
        <w:rPr>
          <w:rFonts w:ascii="Arial" w:eastAsia="Times New Roman" w:hAnsi="Arial" w:cs="Arial"/>
          <w:b/>
          <w:bCs/>
          <w:sz w:val="22"/>
          <w:szCs w:val="22"/>
          <w:lang w:eastAsia="es-ES_tradnl"/>
        </w:rPr>
      </w:pPr>
      <w:r w:rsidRPr="006868B6">
        <w:rPr>
          <w:rFonts w:ascii="Arial" w:eastAsia="Times New Roman" w:hAnsi="Arial" w:cs="Arial"/>
          <w:b/>
          <w:bCs/>
          <w:sz w:val="22"/>
          <w:szCs w:val="22"/>
          <w:lang w:eastAsia="es-ES_tradnl"/>
        </w:rPr>
        <w:t xml:space="preserve">Poste: </w:t>
      </w:r>
      <w:r w:rsidRPr="006868B6">
        <w:rPr>
          <w:rFonts w:ascii="Arial" w:eastAsia="Times New Roman" w:hAnsi="Arial" w:cs="Arial"/>
          <w:sz w:val="22"/>
          <w:szCs w:val="22"/>
          <w:lang w:eastAsia="es-ES_tradnl"/>
        </w:rPr>
        <w:t xml:space="preserve">Será fabricado con tubo de acero A-53 de 8” diámetro (8.625 Nominal) y espesor de 3/16”, con 400 cm de altura, con placa base de ¾” x 50 cm de diámetro, unida con 8 cartabones triangulares de </w:t>
      </w:r>
      <w:proofErr w:type="spellStart"/>
      <w:r w:rsidRPr="006868B6">
        <w:rPr>
          <w:rFonts w:ascii="Arial" w:eastAsia="Times New Roman" w:hAnsi="Arial" w:cs="Arial"/>
          <w:sz w:val="22"/>
          <w:szCs w:val="22"/>
          <w:lang w:eastAsia="es-ES_tradnl"/>
        </w:rPr>
        <w:t>Fo</w:t>
      </w:r>
      <w:proofErr w:type="spellEnd"/>
      <w:r w:rsidRPr="006868B6">
        <w:rPr>
          <w:rFonts w:ascii="Arial" w:eastAsia="Times New Roman" w:hAnsi="Arial" w:cs="Arial"/>
          <w:sz w:val="22"/>
          <w:szCs w:val="22"/>
          <w:lang w:eastAsia="es-ES_tradnl"/>
        </w:rPr>
        <w:t xml:space="preserve">. de ¼” de 7 x 15 cm; un registro eléctrico en su base, fabricado de solera cal. 10 de 3.8 x 19 cm con tapa de aluminio y un medio </w:t>
      </w:r>
      <w:proofErr w:type="spellStart"/>
      <w:r w:rsidRPr="006868B6">
        <w:rPr>
          <w:rFonts w:ascii="Arial" w:eastAsia="Times New Roman" w:hAnsi="Arial" w:cs="Arial"/>
          <w:sz w:val="22"/>
          <w:szCs w:val="22"/>
          <w:lang w:eastAsia="es-ES_tradnl"/>
        </w:rPr>
        <w:t>cople</w:t>
      </w:r>
      <w:proofErr w:type="spellEnd"/>
      <w:r w:rsidRPr="006868B6">
        <w:rPr>
          <w:rFonts w:ascii="Arial" w:eastAsia="Times New Roman" w:hAnsi="Arial" w:cs="Arial"/>
          <w:sz w:val="22"/>
          <w:szCs w:val="22"/>
          <w:lang w:eastAsia="es-ES_tradnl"/>
        </w:rPr>
        <w:t xml:space="preserve"> en el poste de 1 ½” de diámetro, con accesorios para la colocación de semáforos como son: </w:t>
      </w:r>
      <w:proofErr w:type="spellStart"/>
      <w:r w:rsidRPr="006868B6">
        <w:rPr>
          <w:rFonts w:ascii="Arial" w:eastAsia="Times New Roman" w:hAnsi="Arial" w:cs="Arial"/>
          <w:sz w:val="22"/>
          <w:szCs w:val="22"/>
          <w:lang w:eastAsia="es-ES_tradnl"/>
        </w:rPr>
        <w:t>niple</w:t>
      </w:r>
      <w:proofErr w:type="spellEnd"/>
      <w:r w:rsidRPr="006868B6">
        <w:rPr>
          <w:rFonts w:ascii="Arial" w:eastAsia="Times New Roman" w:hAnsi="Arial" w:cs="Arial"/>
          <w:sz w:val="22"/>
          <w:szCs w:val="22"/>
          <w:lang w:eastAsia="es-ES_tradnl"/>
        </w:rPr>
        <w:t xml:space="preserve"> de 1 ½” cédula 40, codo 90° cédula 40 1 ½”, contratuerca </w:t>
      </w:r>
      <w:r w:rsidRPr="006868B6">
        <w:rPr>
          <w:rFonts w:ascii="Arial" w:eastAsia="Times New Roman" w:hAnsi="Arial" w:cs="Arial"/>
          <w:sz w:val="22"/>
          <w:szCs w:val="22"/>
          <w:lang w:eastAsia="es-ES_tradnl"/>
        </w:rPr>
        <w:lastRenderedPageBreak/>
        <w:t>de 1 ½”, herraje para poste de 12 x 25.5 cm, tapón para semáforo, tuerca cuadrada de 3/16” y lámina cal. 16 de 2.5 x 7 cm.</w:t>
      </w:r>
    </w:p>
    <w:p w:rsidR="006868B6" w:rsidRPr="006868B6" w:rsidRDefault="006868B6" w:rsidP="006868B6">
      <w:pPr>
        <w:snapToGrid w:val="0"/>
        <w:jc w:val="both"/>
        <w:rPr>
          <w:rFonts w:ascii="Arial" w:eastAsia="Times New Roman" w:hAnsi="Arial" w:cs="Arial"/>
          <w:sz w:val="22"/>
          <w:szCs w:val="22"/>
          <w:lang w:eastAsia="es-ES_tradnl"/>
        </w:rPr>
      </w:pPr>
    </w:p>
    <w:p w:rsidR="006868B6" w:rsidRPr="006868B6" w:rsidRDefault="006868B6" w:rsidP="006868B6">
      <w:pPr>
        <w:snapToGrid w:val="0"/>
        <w:jc w:val="both"/>
        <w:rPr>
          <w:rFonts w:ascii="Arial" w:eastAsia="Times New Roman" w:hAnsi="Arial" w:cs="Arial"/>
          <w:sz w:val="22"/>
          <w:szCs w:val="22"/>
          <w:lang w:eastAsia="es-ES_tradnl"/>
        </w:rPr>
      </w:pPr>
      <w:r w:rsidRPr="006868B6">
        <w:rPr>
          <w:rFonts w:ascii="Arial" w:eastAsia="Times New Roman" w:hAnsi="Arial" w:cs="Arial"/>
          <w:sz w:val="22"/>
          <w:szCs w:val="22"/>
          <w:lang w:eastAsia="es-ES_tradnl"/>
        </w:rPr>
        <w:t>Toda la estructura deberá ser galvanizada, con acabado fondo anticorrosivo y pintura del color de acuerdo con el proyecto y reglamentos vigentes de la ciudad. Deberá tener la preparación para colocar el cabezal de semáforo (Vehicular y/o Peatonal), cableado interno y dispositivos adicionales diversos necesarios para su adecuado funcionamiento de acuerdo con el proyecto.</w:t>
      </w:r>
    </w:p>
    <w:p w:rsidR="001D70E0" w:rsidRPr="006868B6" w:rsidRDefault="001D70E0">
      <w:pPr>
        <w:rPr>
          <w:rFonts w:ascii="Arial" w:hAnsi="Arial" w:cs="Arial"/>
          <w:sz w:val="22"/>
          <w:szCs w:val="22"/>
        </w:rPr>
      </w:pPr>
    </w:p>
    <w:sectPr w:rsidR="001D70E0" w:rsidRPr="006868B6">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481" w:rsidRDefault="00D44481" w:rsidP="006868B6">
      <w:r>
        <w:separator/>
      </w:r>
    </w:p>
  </w:endnote>
  <w:endnote w:type="continuationSeparator" w:id="0">
    <w:p w:rsidR="00D44481" w:rsidRDefault="00D44481" w:rsidP="0068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altName w:val="Times New Roman"/>
    <w:panose1 w:val="00000000000000000000"/>
    <w:charset w:val="00"/>
    <w:family w:val="modern"/>
    <w:notTrueType/>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481" w:rsidRDefault="00D44481" w:rsidP="006868B6">
      <w:r>
        <w:separator/>
      </w:r>
    </w:p>
  </w:footnote>
  <w:footnote w:type="continuationSeparator" w:id="0">
    <w:p w:rsidR="00D44481" w:rsidRDefault="00D44481" w:rsidP="00686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8B6" w:rsidRPr="006868B6" w:rsidRDefault="006868B6" w:rsidP="006868B6">
    <w:pPr>
      <w:pStyle w:val="Ttulo1"/>
      <w:jc w:val="center"/>
      <w:rPr>
        <w:rFonts w:ascii="Arial" w:hAnsi="Arial" w:cs="Arial"/>
        <w:b/>
        <w:color w:val="auto"/>
        <w:sz w:val="36"/>
        <w:szCs w:val="36"/>
        <w:lang w:val="es-ES"/>
      </w:rPr>
    </w:pPr>
    <w:r w:rsidRPr="006868B6">
      <w:rPr>
        <w:rFonts w:ascii="Arial" w:hAnsi="Arial" w:cs="Arial"/>
        <w:b/>
        <w:color w:val="auto"/>
        <w:sz w:val="36"/>
        <w:szCs w:val="36"/>
        <w:lang w:val="es-ES"/>
      </w:rPr>
      <w:t>ESPECIFICACIONES PARTICULARES</w:t>
    </w:r>
  </w:p>
  <w:p w:rsidR="006868B6" w:rsidRPr="006868B6" w:rsidRDefault="006868B6" w:rsidP="006868B6">
    <w:pPr>
      <w:pStyle w:val="Ttulo1"/>
      <w:jc w:val="center"/>
      <w:rPr>
        <w:rFonts w:asciiTheme="minorHAnsi" w:hAnsiTheme="minorHAnsi" w:cstheme="minorHAnsi"/>
        <w:b/>
        <w:color w:val="1F4E79" w:themeColor="accent1" w:themeShade="80"/>
        <w:sz w:val="28"/>
        <w:szCs w:val="28"/>
        <w:lang w:val="es-ES"/>
      </w:rPr>
    </w:pPr>
    <w:r w:rsidRPr="006868B6">
      <w:rPr>
        <w:rFonts w:asciiTheme="minorHAnsi" w:hAnsiTheme="minorHAnsi" w:cstheme="minorHAnsi"/>
        <w:b/>
        <w:color w:val="1F4E79" w:themeColor="accent1" w:themeShade="80"/>
        <w:sz w:val="28"/>
        <w:szCs w:val="28"/>
        <w:lang w:val="es-ES"/>
      </w:rPr>
      <w:t>"MEJORAMIENTO DE SEMAFOROS DE LA CIUDAD DE LA PAZ"</w:t>
    </w:r>
  </w:p>
  <w:p w:rsidR="006868B6" w:rsidRDefault="006868B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A3771"/>
    <w:multiLevelType w:val="hybridMultilevel"/>
    <w:tmpl w:val="30EEA61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B85032D"/>
    <w:multiLevelType w:val="hybridMultilevel"/>
    <w:tmpl w:val="23C0C03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80332FE"/>
    <w:multiLevelType w:val="hybridMultilevel"/>
    <w:tmpl w:val="084A4EFC"/>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234D10"/>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03217C5"/>
    <w:multiLevelType w:val="hybridMultilevel"/>
    <w:tmpl w:val="2E945D9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60D62ED0"/>
    <w:multiLevelType w:val="hybridMultilevel"/>
    <w:tmpl w:val="5ABC4C1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62B46780"/>
    <w:multiLevelType w:val="hybridMultilevel"/>
    <w:tmpl w:val="BB1226A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6ED401BC"/>
    <w:multiLevelType w:val="hybridMultilevel"/>
    <w:tmpl w:val="94FCF6D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7AE1D7C"/>
    <w:multiLevelType w:val="hybridMultilevel"/>
    <w:tmpl w:val="87E6E25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7DF501C9"/>
    <w:multiLevelType w:val="hybridMultilevel"/>
    <w:tmpl w:val="60CC0372"/>
    <w:lvl w:ilvl="0" w:tplc="080A0019">
      <w:start w:val="1"/>
      <w:numFmt w:val="lowerLetter"/>
      <w:lvlText w:val="%1."/>
      <w:lvlJc w:val="left"/>
      <w:pPr>
        <w:ind w:left="86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5"/>
  </w:num>
  <w:num w:numId="5">
    <w:abstractNumId w:val="9"/>
  </w:num>
  <w:num w:numId="6">
    <w:abstractNumId w:val="6"/>
  </w:num>
  <w:num w:numId="7">
    <w:abstractNumId w:val="2"/>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8B6"/>
    <w:rsid w:val="000E47F1"/>
    <w:rsid w:val="001D70E0"/>
    <w:rsid w:val="006868B6"/>
    <w:rsid w:val="00A06FE0"/>
    <w:rsid w:val="00D444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57835"/>
  <w15:chartTrackingRefBased/>
  <w15:docId w15:val="{A53DAE1E-3FEA-495F-9534-513643FC4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8B6"/>
    <w:pPr>
      <w:spacing w:after="0" w:line="240" w:lineRule="auto"/>
    </w:pPr>
    <w:rPr>
      <w:sz w:val="24"/>
      <w:szCs w:val="24"/>
      <w:lang w:val="es-ES_tradnl"/>
    </w:rPr>
  </w:style>
  <w:style w:type="paragraph" w:styleId="Ttulo1">
    <w:name w:val="heading 1"/>
    <w:basedOn w:val="Normal"/>
    <w:next w:val="Normal"/>
    <w:link w:val="Ttulo1Car"/>
    <w:uiPriority w:val="9"/>
    <w:qFormat/>
    <w:rsid w:val="006868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link w:val="Ttulo2Car"/>
    <w:uiPriority w:val="9"/>
    <w:qFormat/>
    <w:rsid w:val="006868B6"/>
    <w:pPr>
      <w:spacing w:before="100" w:beforeAutospacing="1" w:after="100" w:afterAutospacing="1"/>
      <w:outlineLvl w:val="1"/>
    </w:pPr>
    <w:rPr>
      <w:rFonts w:ascii="Montserrat" w:eastAsia="Times New Roman" w:hAnsi="Montserrat" w:cs="Times New Roman"/>
      <w:b/>
      <w:bCs/>
      <w:sz w:val="22"/>
      <w:szCs w:val="36"/>
      <w:lang w:val="es-MX"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6868B6"/>
    <w:rPr>
      <w:rFonts w:ascii="Montserrat" w:eastAsia="Times New Roman" w:hAnsi="Montserrat" w:cs="Times New Roman"/>
      <w:b/>
      <w:bCs/>
      <w:szCs w:val="36"/>
      <w:lang w:eastAsia="es-ES_tradnl"/>
    </w:rPr>
  </w:style>
  <w:style w:type="paragraph" w:styleId="Prrafodelista">
    <w:name w:val="List Paragraph"/>
    <w:basedOn w:val="Normal"/>
    <w:uiPriority w:val="34"/>
    <w:qFormat/>
    <w:rsid w:val="006868B6"/>
    <w:pPr>
      <w:ind w:left="720"/>
      <w:contextualSpacing/>
    </w:pPr>
  </w:style>
  <w:style w:type="paragraph" w:styleId="Encabezado">
    <w:name w:val="header"/>
    <w:basedOn w:val="Normal"/>
    <w:link w:val="EncabezadoCar"/>
    <w:uiPriority w:val="99"/>
    <w:unhideWhenUsed/>
    <w:rsid w:val="006868B6"/>
    <w:pPr>
      <w:tabs>
        <w:tab w:val="center" w:pos="4419"/>
        <w:tab w:val="right" w:pos="8838"/>
      </w:tabs>
    </w:pPr>
  </w:style>
  <w:style w:type="character" w:customStyle="1" w:styleId="EncabezadoCar">
    <w:name w:val="Encabezado Car"/>
    <w:basedOn w:val="Fuentedeprrafopredeter"/>
    <w:link w:val="Encabezado"/>
    <w:uiPriority w:val="99"/>
    <w:rsid w:val="006868B6"/>
    <w:rPr>
      <w:sz w:val="24"/>
      <w:szCs w:val="24"/>
      <w:lang w:val="es-ES_tradnl"/>
    </w:rPr>
  </w:style>
  <w:style w:type="paragraph" w:styleId="Piedepgina">
    <w:name w:val="footer"/>
    <w:basedOn w:val="Normal"/>
    <w:link w:val="PiedepginaCar"/>
    <w:uiPriority w:val="99"/>
    <w:unhideWhenUsed/>
    <w:rsid w:val="006868B6"/>
    <w:pPr>
      <w:tabs>
        <w:tab w:val="center" w:pos="4419"/>
        <w:tab w:val="right" w:pos="8838"/>
      </w:tabs>
    </w:pPr>
  </w:style>
  <w:style w:type="character" w:customStyle="1" w:styleId="PiedepginaCar">
    <w:name w:val="Pie de página Car"/>
    <w:basedOn w:val="Fuentedeprrafopredeter"/>
    <w:link w:val="Piedepgina"/>
    <w:uiPriority w:val="99"/>
    <w:rsid w:val="006868B6"/>
    <w:rPr>
      <w:sz w:val="24"/>
      <w:szCs w:val="24"/>
      <w:lang w:val="es-ES_tradnl"/>
    </w:rPr>
  </w:style>
  <w:style w:type="character" w:customStyle="1" w:styleId="Ttulo1Car">
    <w:name w:val="Título 1 Car"/>
    <w:basedOn w:val="Fuentedeprrafopredeter"/>
    <w:link w:val="Ttulo1"/>
    <w:uiPriority w:val="9"/>
    <w:rsid w:val="006868B6"/>
    <w:rPr>
      <w:rFonts w:asciiTheme="majorHAnsi" w:eastAsiaTheme="majorEastAsia" w:hAnsiTheme="majorHAnsi" w:cstheme="majorBidi"/>
      <w:color w:val="2E74B5" w:themeColor="accent1" w:themeShade="BF"/>
      <w:sz w:val="32"/>
      <w:szCs w:val="3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2961</Words>
  <Characters>16290</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Leyva</dc:creator>
  <cp:keywords/>
  <dc:description/>
  <cp:lastModifiedBy>Jose Leyva</cp:lastModifiedBy>
  <cp:revision>2</cp:revision>
  <dcterms:created xsi:type="dcterms:W3CDTF">2023-07-28T07:06:00Z</dcterms:created>
  <dcterms:modified xsi:type="dcterms:W3CDTF">2023-07-28T07:45:00Z</dcterms:modified>
</cp:coreProperties>
</file>